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F9" w:rsidRPr="00B44DF9" w:rsidRDefault="00B44DF9" w:rsidP="00B44DF9">
      <w:pPr>
        <w:rPr>
          <w:lang w:val="en-US"/>
        </w:rPr>
      </w:pPr>
      <w:bookmarkStart w:id="0" w:name="_GoBack"/>
      <w:bookmarkEnd w:id="0"/>
      <w:r>
        <w:rPr>
          <w:lang w:val="en-US"/>
        </w:rPr>
        <w:t>Aid for Trade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ATF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Carbon Dioxide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CO2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Developing Country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DC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Dest</w:t>
      </w:r>
      <w:r>
        <w:rPr>
          <w:lang w:val="en-US"/>
        </w:rPr>
        <w:t>ination Management Organization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DMO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Diagn</w:t>
      </w:r>
      <w:r>
        <w:rPr>
          <w:lang w:val="en-US"/>
        </w:rPr>
        <w:t>ostic Trade Integration Studies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DTIS</w:t>
      </w:r>
      <w:r w:rsidR="00AD2578">
        <w:rPr>
          <w:lang w:val="en-US"/>
        </w:rPr>
        <w:t>)</w:t>
      </w:r>
    </w:p>
    <w:p w:rsidR="00B44DF9" w:rsidRPr="00AD2578" w:rsidRDefault="00B44DF9" w:rsidP="00B44DF9">
      <w:pPr>
        <w:rPr>
          <w:lang w:val="en-US"/>
        </w:rPr>
      </w:pPr>
      <w:r w:rsidRPr="00AD2578">
        <w:rPr>
          <w:lang w:val="en-US"/>
        </w:rPr>
        <w:t>Environmental Impact Assessment</w:t>
      </w:r>
      <w:r w:rsidR="00AD2578" w:rsidRPr="00AD2578">
        <w:rPr>
          <w:lang w:val="en-US"/>
        </w:rPr>
        <w:t xml:space="preserve"> (EIA)</w:t>
      </w:r>
    </w:p>
    <w:p w:rsidR="00B44DF9" w:rsidRPr="00AD2578" w:rsidRDefault="00B44DF9" w:rsidP="00B44DF9">
      <w:pPr>
        <w:rPr>
          <w:lang w:val="en-US"/>
        </w:rPr>
      </w:pPr>
      <w:r w:rsidRPr="00AD2578">
        <w:rPr>
          <w:lang w:val="en-US"/>
        </w:rPr>
        <w:t>European Union</w:t>
      </w:r>
      <w:r w:rsidR="00AD2578" w:rsidRPr="00AD2578">
        <w:rPr>
          <w:lang w:val="en-US"/>
        </w:rPr>
        <w:t xml:space="preserve"> (EU)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Foreign Direct Investment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FDI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General</w:t>
      </w:r>
      <w:r>
        <w:rPr>
          <w:lang w:val="en-US"/>
        </w:rPr>
        <w:t xml:space="preserve"> Agreement on Trade in Services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GATS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Gross Domestic Product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GDP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Global Sustainable Tourism Criteria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GSTC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Gross Value Added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GVA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Human Resources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HR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Human Resources Development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HRD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Information and Communication Technology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ICT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In</w:t>
      </w:r>
      <w:r>
        <w:rPr>
          <w:lang w:val="en-US"/>
        </w:rPr>
        <w:t>ternational Labour Organization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ILO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International Trade Centre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ITC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 xml:space="preserve">Public-Private Partnership 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PPP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Poverty Reduction Strate</w:t>
      </w:r>
      <w:r>
        <w:rPr>
          <w:lang w:val="en-US"/>
        </w:rPr>
        <w:t>gy Paper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PRSP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KwaZulu-Natal Tourism Authority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TKZN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Least Developed Country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LDC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Micr</w:t>
      </w:r>
      <w:r>
        <w:rPr>
          <w:lang w:val="en-US"/>
        </w:rPr>
        <w:t>o, Small and Medium Enterprises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MSME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Non-Governmental Organization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NGO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National Tourism Office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NTO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Organisation for Economic Co-operation and D</w:t>
      </w:r>
      <w:r>
        <w:rPr>
          <w:lang w:val="en-US"/>
        </w:rPr>
        <w:t>evelopment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OECD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Project Cycle Management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PCM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United States Dollars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USD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Unite</w:t>
      </w:r>
      <w:r>
        <w:rPr>
          <w:lang w:val="en-US"/>
        </w:rPr>
        <w:t>d Nations Environment Programme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UNEP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Unite</w:t>
      </w:r>
      <w:r>
        <w:rPr>
          <w:lang w:val="en-US"/>
        </w:rPr>
        <w:t>d Nations Development Programme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UNDP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Steering Commi</w:t>
      </w:r>
      <w:r>
        <w:rPr>
          <w:lang w:val="en-US"/>
        </w:rPr>
        <w:t>ttee on Tourism for Development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SCTD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Small Island Developing States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SIDS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lastRenderedPageBreak/>
        <w:t>Sm</w:t>
      </w:r>
      <w:r>
        <w:rPr>
          <w:lang w:val="en-US"/>
        </w:rPr>
        <w:t>all and Medium Sized Enterprise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SME</w:t>
      </w:r>
      <w:r w:rsidR="00AD2578">
        <w:rPr>
          <w:lang w:val="en-US"/>
        </w:rPr>
        <w:t>)</w:t>
      </w:r>
    </w:p>
    <w:p w:rsidR="00B44DF9" w:rsidRPr="00AD2578" w:rsidRDefault="00B44DF9" w:rsidP="00B44DF9">
      <w:pPr>
        <w:rPr>
          <w:lang w:val="en-US"/>
        </w:rPr>
      </w:pPr>
      <w:r w:rsidRPr="00AD2578">
        <w:rPr>
          <w:lang w:val="en-US"/>
        </w:rPr>
        <w:t>Netherlands Development Organization</w:t>
      </w:r>
      <w:r w:rsidR="00AD2578">
        <w:rPr>
          <w:lang w:val="en-US"/>
        </w:rPr>
        <w:t xml:space="preserve"> (</w:t>
      </w:r>
      <w:r w:rsidR="00AD2578" w:rsidRPr="00AD2578">
        <w:rPr>
          <w:lang w:val="en-US"/>
        </w:rPr>
        <w:t>SNV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Sustainabl</w:t>
      </w:r>
      <w:r>
        <w:rPr>
          <w:lang w:val="en-US"/>
        </w:rPr>
        <w:t>e Tourism - Eliminating Poverty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ST-EP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Tourism Satellite Account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TSA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United Nations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UN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United Nations Conf</w:t>
      </w:r>
      <w:r>
        <w:rPr>
          <w:lang w:val="en-US"/>
        </w:rPr>
        <w:t>erence on Trade and Development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UNCTAD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United Nations D</w:t>
      </w:r>
      <w:r>
        <w:rPr>
          <w:lang w:val="en-US"/>
        </w:rPr>
        <w:t>evelopment Assistance Framework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UNDAF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United Nations Educational, Scien</w:t>
      </w:r>
      <w:r>
        <w:rPr>
          <w:lang w:val="en-US"/>
        </w:rPr>
        <w:t>tific and Cultural Organization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UNESCO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 xml:space="preserve">United Nations Industrial </w:t>
      </w:r>
      <w:r>
        <w:rPr>
          <w:lang w:val="en-US"/>
        </w:rPr>
        <w:t>Development Organization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UNIDO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Value Chain Analysis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VCA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 w:rsidRPr="00B44DF9">
        <w:rPr>
          <w:lang w:val="en-US"/>
        </w:rPr>
        <w:t>World H</w:t>
      </w:r>
      <w:r>
        <w:rPr>
          <w:lang w:val="en-US"/>
        </w:rPr>
        <w:t>eritage and Sustainable Tourism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WHST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World Tourism Organization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UNWTO</w:t>
      </w:r>
      <w:r w:rsidR="00AD2578">
        <w:rPr>
          <w:lang w:val="en-US"/>
        </w:rPr>
        <w:t>)</w:t>
      </w:r>
    </w:p>
    <w:p w:rsidR="00B44DF9" w:rsidRPr="00B44DF9" w:rsidRDefault="00B44DF9" w:rsidP="00B44DF9">
      <w:pPr>
        <w:rPr>
          <w:lang w:val="en-US"/>
        </w:rPr>
      </w:pPr>
      <w:r>
        <w:rPr>
          <w:lang w:val="en-US"/>
        </w:rPr>
        <w:t>World Trade Organization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WTO</w:t>
      </w:r>
      <w:r w:rsidR="00AD2578">
        <w:rPr>
          <w:lang w:val="en-US"/>
        </w:rPr>
        <w:t>)</w:t>
      </w:r>
    </w:p>
    <w:p w:rsidR="00E3180A" w:rsidRPr="00B44DF9" w:rsidRDefault="00B44DF9" w:rsidP="00B44DF9">
      <w:pPr>
        <w:rPr>
          <w:lang w:val="en-US"/>
        </w:rPr>
      </w:pPr>
      <w:r w:rsidRPr="00B44DF9">
        <w:rPr>
          <w:lang w:val="en-US"/>
        </w:rPr>
        <w:t>Yasuni Biosphere Reserve</w:t>
      </w:r>
      <w:r w:rsidR="00AD2578">
        <w:rPr>
          <w:lang w:val="en-US"/>
        </w:rPr>
        <w:t xml:space="preserve"> (</w:t>
      </w:r>
      <w:r w:rsidR="00AD2578" w:rsidRPr="00B44DF9">
        <w:rPr>
          <w:lang w:val="en-US"/>
        </w:rPr>
        <w:t>YBR</w:t>
      </w:r>
      <w:r w:rsidR="00AD2578">
        <w:rPr>
          <w:lang w:val="en-US"/>
        </w:rPr>
        <w:t>)</w:t>
      </w:r>
    </w:p>
    <w:sectPr w:rsidR="00E3180A" w:rsidRPr="00B4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DF9"/>
    <w:rsid w:val="00247D67"/>
    <w:rsid w:val="002C20B5"/>
    <w:rsid w:val="002D42F9"/>
    <w:rsid w:val="00451C24"/>
    <w:rsid w:val="007A2C5E"/>
    <w:rsid w:val="007F6D83"/>
    <w:rsid w:val="00911CF3"/>
    <w:rsid w:val="00A348AF"/>
    <w:rsid w:val="00AD1CE8"/>
    <w:rsid w:val="00AD2578"/>
    <w:rsid w:val="00B44DF9"/>
    <w:rsid w:val="00B466EE"/>
    <w:rsid w:val="00C11C7E"/>
    <w:rsid w:val="00C31769"/>
    <w:rsid w:val="00E3180A"/>
    <w:rsid w:val="00E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895838-120C-4F9B-A345-ED9B4E40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6D8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IPindienen">
    <w:name w:val="GIP_indienen"/>
    <w:basedOn w:val="Standaardtabel"/>
    <w:uiPriority w:val="99"/>
    <w:rsid w:val="00911CF3"/>
    <w:pPr>
      <w:spacing w:after="0" w:line="240" w:lineRule="auto"/>
    </w:pPr>
    <w:rPr>
      <w:rFonts w:cs="Times New Roman"/>
    </w:rPr>
    <w:tblPr/>
  </w:style>
  <w:style w:type="table" w:customStyle="1" w:styleId="GIPopslaan">
    <w:name w:val="GIP_opslaan"/>
    <w:basedOn w:val="Standaardtabel"/>
    <w:uiPriority w:val="99"/>
    <w:rsid w:val="00911CF3"/>
    <w:pPr>
      <w:spacing w:after="0" w:line="240" w:lineRule="auto"/>
    </w:pPr>
    <w:rPr>
      <w:rFonts w:cs="Times New Roman"/>
    </w:rPr>
    <w:tblPr/>
  </w:style>
  <w:style w:type="paragraph" w:customStyle="1" w:styleId="tabelgegevens">
    <w:name w:val="tabelgegevens"/>
    <w:basedOn w:val="Standaard"/>
    <w:qFormat/>
    <w:rsid w:val="002D42F9"/>
    <w:pPr>
      <w:spacing w:after="0" w:line="240" w:lineRule="auto"/>
    </w:pPr>
    <w:rPr>
      <w:rFonts w:asciiTheme="majorHAnsi" w:hAnsiTheme="majorHAnsi"/>
      <w:color w:val="2E74B5" w:themeColor="accent1" w:themeShade="BF"/>
      <w:sz w:val="20"/>
    </w:rPr>
  </w:style>
  <w:style w:type="table" w:customStyle="1" w:styleId="Stijl1">
    <w:name w:val="Stijl1"/>
    <w:basedOn w:val="Standaardtabel"/>
    <w:uiPriority w:val="99"/>
    <w:rsid w:val="002D42F9"/>
    <w:pPr>
      <w:spacing w:after="0" w:line="240" w:lineRule="auto"/>
    </w:pPr>
    <w:rPr>
      <w:rFonts w:asciiTheme="majorHAnsi" w:hAnsiTheme="majorHAnsi" w:cs="Times New Roman"/>
      <w:color w:val="1F4E79" w:themeColor="accent1" w:themeShade="80"/>
      <w:sz w:val="20"/>
    </w:rPr>
    <w:tblPr/>
  </w:style>
  <w:style w:type="table" w:customStyle="1" w:styleId="Cijfergegevens">
    <w:name w:val="Cijfergegevens"/>
    <w:basedOn w:val="Standaardtabel"/>
    <w:uiPriority w:val="99"/>
    <w:rsid w:val="002D42F9"/>
    <w:pPr>
      <w:spacing w:after="0" w:line="240" w:lineRule="auto"/>
    </w:pPr>
    <w:rPr>
      <w:rFonts w:asciiTheme="majorHAnsi" w:hAnsiTheme="majorHAnsi" w:cs="Times New Roman"/>
      <w:color w:val="1F4E79" w:themeColor="accent1" w:themeShade="80"/>
      <w:sz w:val="20"/>
    </w:rPr>
    <w:tblPr>
      <w:tblStyleRowBandSize w:val="1"/>
      <w:tblCellMar>
        <w:left w:w="57" w:type="dxa"/>
        <w:right w:w="57" w:type="dxa"/>
      </w:tblCellMar>
    </w:tblPr>
    <w:tblStylePr w:type="firstRow">
      <w:rPr>
        <w:rFonts w:asciiTheme="majorHAnsi" w:hAnsiTheme="majorHAnsi" w:cs="Times New Roman"/>
        <w:b/>
        <w:color w:val="FFFFFF" w:themeColor="background1"/>
        <w:sz w:val="20"/>
      </w:rPr>
      <w:tblPr/>
      <w:tcPr>
        <w:shd w:val="clear" w:color="auto" w:fill="1F4E79" w:themeFill="accent1" w:themeFillShade="80"/>
      </w:tcPr>
    </w:tblStylePr>
    <w:tblStylePr w:type="lastRow">
      <w:rPr>
        <w:rFonts w:cs="Times New Roman"/>
        <w:b/>
      </w:rPr>
    </w:tblStylePr>
    <w:tblStylePr w:type="lastCol">
      <w:pPr>
        <w:jc w:val="center"/>
      </w:pPr>
      <w:rPr>
        <w:rFonts w:cs="Times New Roman"/>
        <w:b/>
        <w:color w:val="1F4E79" w:themeColor="accent1" w:themeShade="80"/>
      </w:rPr>
      <w:tblPr/>
      <w:tcPr>
        <w:shd w:val="clear" w:color="auto" w:fill="BDD6EE" w:themeFill="accent1" w:themeFillTint="66"/>
      </w:tcPr>
    </w:tblStylePr>
    <w:tblStylePr w:type="band1Horz">
      <w:rPr>
        <w:rFonts w:cs="Times New Roman"/>
      </w:rPr>
      <w:tblPr/>
      <w:tcPr>
        <w:tcBorders>
          <w:bottom w:val="dashSmallGap" w:sz="4" w:space="0" w:color="2E74B5" w:themeColor="accent1" w:themeShade="BF"/>
        </w:tcBorders>
      </w:tcPr>
    </w:tblStylePr>
    <w:tblStylePr w:type="band2Horz">
      <w:rPr>
        <w:rFonts w:cs="Times New Roman"/>
      </w:rPr>
      <w:tblPr/>
      <w:tcPr>
        <w:tcBorders>
          <w:bottom w:val="dashSmallGap" w:sz="4" w:space="0" w:color="2E74B5" w:themeColor="accent1" w:themeShade="B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Devriendt</dc:creator>
  <cp:keywords/>
  <dc:description/>
  <cp:lastModifiedBy>Danny Devriendt</cp:lastModifiedBy>
  <cp:revision>2</cp:revision>
  <dcterms:created xsi:type="dcterms:W3CDTF">2017-03-18T10:11:00Z</dcterms:created>
  <dcterms:modified xsi:type="dcterms:W3CDTF">2017-03-18T10:11:00Z</dcterms:modified>
</cp:coreProperties>
</file>